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21 78 vom 8. Dezember 2021</w:t>
      </w:r>
    </w:p>
    <w:p>
      <w:r>
        <w:t>BL Gerichte, 2021-12-08, DE</w:t>
      </w:r>
    </w:p>
    <w:p>
      <w:r>
        <w:rPr>
          <w:b/>
        </w:rPr>
        <w:t xml:space="preserve">Quelle: </w:t>
      </w:r>
      <w:r>
        <w:t>https://mcp.opencaselaw.ch/entscheid/bl_gerichte_810 21 78</w:t>
      </w:r>
    </w:p>
    <w:p>
      <w:r>
        <w:t>FR: BL_GERICHTE 810 21 78 du 8 décembre 2021</w:t>
      </w:r>
    </w:p>
    <w:p>
      <w:r>
        <w:t>IT: BL_GERICHTE 810 21 78 del 8 dicembre 2021</w:t>
      </w:r>
    </w:p>
    <w:p>
      <w:pPr>
        <w:pStyle w:val="Heading2"/>
      </w:pPr>
      <w:r>
        <w:t>Regeste</w:t>
      </w:r>
    </w:p>
    <w:p>
      <w:r>
        <w:t>Baugesuch für 13 Reiheneinfamilienhäuser, Carport mit Velounterstand (Entscheid der Baurekurskommission vom 18. August 2020)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3'000.-- werden den Beschwerdeführern auferlegt und mit dem geleisteten Kostenvorschuss in gleicher Höhe verrechnet.</w:t>
      </w:r>
    </w:p>
    <w:p>
      <w:r>
        <w:rPr>
          <w:b/>
        </w:rPr>
        <w:t>E. 3</w:t>
      </w:r>
    </w:p>
    <w:p>
      <w:r>
        <w:t>Die Beschwerdeführer haben den privaten Beschwerdegegnerinnen eine Parteientschädigung in der Höhe von Fr. 7'033.80 (inkl. Auslagen und 7.7% Mehrwertsteuer) zu bezahlen. Im Übrigen werden die Parteikosten wettgeschlagen.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